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144FA5DB"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972E79">
        <w:rPr>
          <w:sz w:val="24"/>
          <w:szCs w:val="24"/>
        </w:rPr>
        <w:t>2</w:t>
      </w:r>
      <w:bookmarkStart w:id="0" w:name="_GoBack"/>
      <w:bookmarkEnd w:id="0"/>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CFEFE" w14:textId="77777777" w:rsidR="00146339" w:rsidRDefault="00146339" w:rsidP="000227DB">
      <w:pPr>
        <w:pStyle w:val="a5"/>
      </w:pPr>
      <w:r>
        <w:separator/>
      </w:r>
    </w:p>
  </w:endnote>
  <w:endnote w:type="continuationSeparator" w:id="0">
    <w:p w14:paraId="25D86546" w14:textId="77777777" w:rsidR="00146339" w:rsidRDefault="00146339"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783E3" w14:textId="77777777" w:rsidR="00146339" w:rsidRDefault="00146339" w:rsidP="000227DB">
      <w:pPr>
        <w:pStyle w:val="a5"/>
      </w:pPr>
      <w:r>
        <w:separator/>
      </w:r>
    </w:p>
  </w:footnote>
  <w:footnote w:type="continuationSeparator" w:id="0">
    <w:p w14:paraId="77453BF7" w14:textId="77777777" w:rsidR="00146339" w:rsidRDefault="00146339"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39"/>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2E79"/>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FDB22-AB59-466E-B0D6-A414777E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43086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8</cp:revision>
  <cp:lastPrinted>2016-06-27T02:59:00Z</cp:lastPrinted>
  <dcterms:created xsi:type="dcterms:W3CDTF">2021-11-26T06:48:00Z</dcterms:created>
  <dcterms:modified xsi:type="dcterms:W3CDTF">2022-10-28T01:59:00Z</dcterms:modified>
</cp:coreProperties>
</file>