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DE08" w14:textId="7FDC9ACA"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r w:rsidR="00341C6D">
        <w:rPr>
          <w:b/>
          <w:sz w:val="24"/>
          <w:szCs w:val="24"/>
        </w:rPr>
        <w:t>_______</w:t>
      </w:r>
    </w:p>
    <w:p w14:paraId="06949048" w14:textId="77777777" w:rsidR="006755D9" w:rsidRPr="002C1FB4" w:rsidRDefault="006755D9" w:rsidP="001D7D52">
      <w:pPr>
        <w:rPr>
          <w:sz w:val="24"/>
          <w:szCs w:val="24"/>
        </w:rPr>
      </w:pPr>
    </w:p>
    <w:p w14:paraId="0C6FD68D" w14:textId="6B12C88C" w:rsidR="006755D9" w:rsidRPr="00282DC0" w:rsidRDefault="0031205A" w:rsidP="001D7D52">
      <w:pPr>
        <w:rPr>
          <w:sz w:val="24"/>
          <w:szCs w:val="24"/>
        </w:rPr>
      </w:pPr>
      <w:r>
        <w:rPr>
          <w:sz w:val="24"/>
          <w:szCs w:val="24"/>
        </w:rPr>
        <w:tab/>
      </w:r>
      <w:r w:rsidR="00341C6D">
        <w:rPr>
          <w:sz w:val="24"/>
          <w:szCs w:val="24"/>
        </w:rPr>
        <w:t>г. Бодайбо</w:t>
      </w:r>
      <w:r w:rsidR="00341C6D">
        <w:rPr>
          <w:sz w:val="24"/>
          <w:szCs w:val="24"/>
        </w:rPr>
        <w:tab/>
      </w:r>
      <w:r w:rsidR="00341C6D">
        <w:rPr>
          <w:sz w:val="24"/>
          <w:szCs w:val="24"/>
        </w:rPr>
        <w:tab/>
      </w:r>
      <w:r w:rsidR="00341C6D">
        <w:rPr>
          <w:sz w:val="24"/>
          <w:szCs w:val="24"/>
        </w:rPr>
        <w:tab/>
      </w:r>
      <w:r w:rsidR="00341C6D">
        <w:rPr>
          <w:sz w:val="24"/>
          <w:szCs w:val="24"/>
        </w:rPr>
        <w:tab/>
      </w:r>
      <w:r w:rsidR="00341C6D">
        <w:rPr>
          <w:sz w:val="24"/>
          <w:szCs w:val="24"/>
        </w:rPr>
        <w:tab/>
      </w:r>
      <w:r w:rsidR="00341C6D">
        <w:rPr>
          <w:sz w:val="24"/>
          <w:szCs w:val="24"/>
        </w:rPr>
        <w:tab/>
      </w:r>
      <w:r w:rsidR="00341C6D">
        <w:rPr>
          <w:sz w:val="24"/>
          <w:szCs w:val="24"/>
        </w:rPr>
        <w:tab/>
      </w:r>
      <w:r w:rsidRPr="00282DC0">
        <w:rPr>
          <w:sz w:val="24"/>
          <w:szCs w:val="24"/>
        </w:rPr>
        <w:t>«</w:t>
      </w:r>
      <w:r w:rsidR="00341C6D">
        <w:rPr>
          <w:sz w:val="24"/>
          <w:szCs w:val="24"/>
        </w:rPr>
        <w:t>__</w:t>
      </w:r>
      <w:r w:rsidRPr="00282DC0">
        <w:rPr>
          <w:sz w:val="24"/>
          <w:szCs w:val="24"/>
        </w:rPr>
        <w:t xml:space="preserve">» </w:t>
      </w:r>
      <w:r w:rsidR="0048554F">
        <w:rPr>
          <w:sz w:val="24"/>
          <w:szCs w:val="24"/>
        </w:rPr>
        <w:t>______________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proofErr w:type="spellStart"/>
      <w:r w:rsidRPr="00282DC0">
        <w:rPr>
          <w:b/>
          <w:sz w:val="24"/>
          <w:szCs w:val="24"/>
        </w:rPr>
        <w:t>Гришака</w:t>
      </w:r>
      <w:proofErr w:type="spellEnd"/>
      <w:r w:rsidRPr="00282DC0">
        <w:rPr>
          <w:b/>
          <w:sz w:val="24"/>
          <w:szCs w:val="24"/>
        </w:rPr>
        <w:t xml:space="preserve">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5CFC9302"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7F0BAA">
        <w:rPr>
          <w:bCs/>
          <w:sz w:val="24"/>
          <w:szCs w:val="24"/>
        </w:rPr>
        <w:t>по</w:t>
      </w:r>
      <w:r w:rsidR="00341C6D">
        <w:rPr>
          <w:bCs/>
          <w:sz w:val="24"/>
          <w:szCs w:val="24"/>
        </w:rPr>
        <w:t xml:space="preserve"> </w:t>
      </w:r>
      <w:r w:rsidR="002266BC">
        <w:rPr>
          <w:bCs/>
          <w:sz w:val="24"/>
          <w:szCs w:val="24"/>
        </w:rPr>
        <w:t>замен</w:t>
      </w:r>
      <w:r w:rsidR="007F0BAA">
        <w:rPr>
          <w:bCs/>
          <w:sz w:val="24"/>
          <w:szCs w:val="24"/>
        </w:rPr>
        <w:t>е</w:t>
      </w:r>
      <w:r w:rsidR="002266BC">
        <w:rPr>
          <w:bCs/>
          <w:sz w:val="24"/>
          <w:szCs w:val="24"/>
        </w:rPr>
        <w:t xml:space="preserve"> гибкой ошиновки ОРУ-110 </w:t>
      </w:r>
      <w:proofErr w:type="spellStart"/>
      <w:r w:rsidR="002266BC">
        <w:rPr>
          <w:bCs/>
          <w:sz w:val="24"/>
          <w:szCs w:val="24"/>
        </w:rPr>
        <w:t>кВ</w:t>
      </w:r>
      <w:proofErr w:type="spellEnd"/>
      <w:r w:rsidR="002266BC">
        <w:rPr>
          <w:bCs/>
          <w:sz w:val="24"/>
          <w:szCs w:val="24"/>
        </w:rPr>
        <w:t xml:space="preserve"> </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proofErr w:type="gramStart"/>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roofErr w:type="gramEnd"/>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w:t>
      </w:r>
      <w:proofErr w:type="gramStart"/>
      <w:r w:rsidRPr="00B35264">
        <w:rPr>
          <w:snapToGrid w:val="0"/>
          <w:sz w:val="24"/>
          <w:szCs w:val="24"/>
        </w:rPr>
        <w:t>Работ</w:t>
      </w:r>
      <w:proofErr w:type="gramEnd"/>
      <w:r w:rsidRPr="00B35264">
        <w:rPr>
          <w:snapToGrid w:val="0"/>
          <w:sz w:val="24"/>
          <w:szCs w:val="24"/>
        </w:rPr>
        <w:t xml:space="preserve">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proofErr w:type="gramStart"/>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w:t>
      </w:r>
      <w:proofErr w:type="gramEnd"/>
      <w:r w:rsidR="00D213E2" w:rsidRPr="00D213E2">
        <w:rPr>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w:t>
      </w:r>
      <w:proofErr w:type="gramStart"/>
      <w:r w:rsidRPr="00282DC0">
        <w:rPr>
          <w:sz w:val="24"/>
          <w:szCs w:val="24"/>
        </w:rPr>
        <w:t>дств с р</w:t>
      </w:r>
      <w:proofErr w:type="gramEnd"/>
      <w:r w:rsidRPr="00282DC0">
        <w:rPr>
          <w:sz w:val="24"/>
          <w:szCs w:val="24"/>
        </w:rPr>
        <w:t>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w:t>
      </w:r>
      <w:proofErr w:type="gramStart"/>
      <w:r w:rsidRPr="00282DC0">
        <w:rPr>
          <w:b w:val="0"/>
          <w:bCs/>
          <w:szCs w:val="24"/>
        </w:rPr>
        <w:t>я(</w:t>
      </w:r>
      <w:proofErr w:type="spellStart"/>
      <w:proofErr w:type="gramEnd"/>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proofErr w:type="gramStart"/>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указанных</w:t>
      </w:r>
      <w:proofErr w:type="gramEnd"/>
      <w:r w:rsidRPr="00B017E1">
        <w:rPr>
          <w:rFonts w:ascii="Times New Roman" w:hAnsi="Times New Roman" w:cs="Times New Roman"/>
          <w:sz w:val="24"/>
          <w:szCs w:val="24"/>
          <w:lang w:eastAsia="en-US"/>
        </w:rPr>
        <w:t xml:space="preserve">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w:t>
      </w:r>
      <w:proofErr w:type="gramStart"/>
      <w:r w:rsidRPr="00B017E1">
        <w:rPr>
          <w:rFonts w:ascii="Times New Roman" w:hAnsi="Times New Roman" w:cs="Times New Roman"/>
          <w:sz w:val="24"/>
          <w:szCs w:val="24"/>
          <w:lang w:eastAsia="en-US"/>
        </w:rPr>
        <w:t>расторгаемого</w:t>
      </w:r>
      <w:proofErr w:type="gramEnd"/>
      <w:r w:rsidRPr="00B017E1">
        <w:rPr>
          <w:rFonts w:ascii="Times New Roman" w:hAnsi="Times New Roman" w:cs="Times New Roman"/>
          <w:sz w:val="24"/>
          <w:szCs w:val="24"/>
          <w:lang w:eastAsia="en-US"/>
        </w:rPr>
        <w:t xml:space="preserve">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proofErr w:type="gramStart"/>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w:t>
      </w:r>
      <w:proofErr w:type="gramEnd"/>
      <w:r w:rsidRPr="00537F0E">
        <w:rPr>
          <w:rFonts w:ascii="Times New Roman" w:hAnsi="Times New Roman" w:cs="Times New Roman"/>
          <w:sz w:val="24"/>
          <w:szCs w:val="24"/>
          <w:lang w:eastAsia="en-US"/>
        </w:rPr>
        <w:t xml:space="preserve">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w:t>
      </w:r>
      <w:proofErr w:type="gramStart"/>
      <w:r w:rsidRPr="00537F0E">
        <w:rPr>
          <w:rFonts w:ascii="Times New Roman" w:hAnsi="Times New Roman" w:cs="Times New Roman"/>
          <w:sz w:val="24"/>
          <w:szCs w:val="24"/>
          <w:lang w:eastAsia="en-US"/>
        </w:rPr>
        <w:t>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w:t>
      </w:r>
      <w:proofErr w:type="gramEnd"/>
      <w:r w:rsidRPr="00537F0E">
        <w:rPr>
          <w:rFonts w:ascii="Times New Roman" w:hAnsi="Times New Roman" w:cs="Times New Roman"/>
          <w:sz w:val="24"/>
          <w:szCs w:val="24"/>
          <w:lang w:eastAsia="en-US"/>
        </w:rPr>
        <w:t xml:space="preserve"> По требованию Заказчика </w:t>
      </w:r>
      <w:proofErr w:type="gramStart"/>
      <w:r w:rsidRPr="00537F0E">
        <w:rPr>
          <w:rFonts w:ascii="Times New Roman" w:hAnsi="Times New Roman" w:cs="Times New Roman"/>
          <w:sz w:val="24"/>
          <w:szCs w:val="24"/>
          <w:lang w:eastAsia="en-US"/>
        </w:rPr>
        <w:t>предоставить документы</w:t>
      </w:r>
      <w:proofErr w:type="gramEnd"/>
      <w:r w:rsidRPr="00537F0E">
        <w:rPr>
          <w:rFonts w:ascii="Times New Roman" w:hAnsi="Times New Roman" w:cs="Times New Roman"/>
          <w:sz w:val="24"/>
          <w:szCs w:val="24"/>
          <w:lang w:eastAsia="en-US"/>
        </w:rPr>
        <w:t xml:space="preserve">,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roofErr w:type="gramEnd"/>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22101">
        <w:rPr>
          <w:rFonts w:ascii="Times New Roman" w:hAnsi="Times New Roman" w:cs="Times New Roman"/>
          <w:color w:val="000000"/>
          <w:sz w:val="24"/>
          <w:szCs w:val="24"/>
        </w:rPr>
        <w:t>с даты направления</w:t>
      </w:r>
      <w:proofErr w:type="gramEnd"/>
      <w:r w:rsidRPr="00622101">
        <w:rPr>
          <w:rFonts w:ascii="Times New Roman" w:hAnsi="Times New Roman" w:cs="Times New Roman"/>
          <w:color w:val="000000"/>
          <w:sz w:val="24"/>
          <w:szCs w:val="24"/>
        </w:rPr>
        <w:t xml:space="preserve">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w:t>
      </w:r>
      <w:proofErr w:type="gramEnd"/>
      <w:r w:rsidRPr="00622101">
        <w:rPr>
          <w:rFonts w:ascii="Times New Roman" w:hAnsi="Times New Roman" w:cs="Times New Roman"/>
          <w:color w:val="000000"/>
          <w:sz w:val="24"/>
          <w:szCs w:val="24"/>
        </w:rPr>
        <w:t xml:space="preserve"> и международных актов о противодействии легализации доходов, полученных преступным путем.</w:t>
      </w:r>
    </w:p>
    <w:p w14:paraId="682D37B5" w14:textId="2C44ACE7" w:rsidR="002A131D" w:rsidRPr="00622101" w:rsidRDefault="002A131D" w:rsidP="002A131D">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 xml:space="preserve">живаться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22101">
        <w:rPr>
          <w:rFonts w:ascii="Times New Roman" w:hAnsi="Times New Roman" w:cs="Times New Roman"/>
          <w:color w:val="000000"/>
          <w:sz w:val="24"/>
          <w:szCs w:val="24"/>
        </w:rPr>
        <w:t>был</w:t>
      </w:r>
      <w:proofErr w:type="gramEnd"/>
      <w:r w:rsidRPr="00622101">
        <w:rPr>
          <w:rFonts w:ascii="Times New Roman" w:hAnsi="Times New Roman" w:cs="Times New Roman"/>
          <w:color w:val="000000"/>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9122793" w14:textId="5E7E2E90"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lastRenderedPageBreak/>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В случае</w:t>
      </w:r>
      <w:proofErr w:type="gramStart"/>
      <w:r w:rsidR="00AC25C6" w:rsidRPr="00282DC0">
        <w:rPr>
          <w:sz w:val="24"/>
          <w:szCs w:val="24"/>
        </w:rPr>
        <w:t>,</w:t>
      </w:r>
      <w:proofErr w:type="gramEnd"/>
      <w:r w:rsidR="00AC25C6" w:rsidRPr="00282DC0">
        <w:rPr>
          <w:sz w:val="24"/>
          <w:szCs w:val="24"/>
        </w:rPr>
        <w:t xml:space="preserve">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r>
      <w:proofErr w:type="gramStart"/>
      <w:r w:rsidR="003E2156" w:rsidRPr="00282DC0">
        <w:rPr>
          <w:sz w:val="24"/>
          <w:szCs w:val="24"/>
        </w:rPr>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разработками являются конфиденциальной информацией (далее – «Конфиденциальная информация»).</w:t>
      </w:r>
      <w:proofErr w:type="gramEnd"/>
      <w:r w:rsidR="003E2156" w:rsidRPr="00282DC0">
        <w:rPr>
          <w:sz w:val="24"/>
          <w:szCs w:val="24"/>
        </w:rPr>
        <w:t xml:space="preserve">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lastRenderedPageBreak/>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xml:space="preserve">)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w:t>
      </w:r>
      <w:proofErr w:type="gramStart"/>
      <w:r w:rsidR="007C6615" w:rsidRPr="00282DC0">
        <w:rPr>
          <w:sz w:val="24"/>
          <w:szCs w:val="24"/>
        </w:rPr>
        <w:t>с даты</w:t>
      </w:r>
      <w:proofErr w:type="gramEnd"/>
      <w:r w:rsidR="007C6615" w:rsidRPr="00282DC0">
        <w:rPr>
          <w:sz w:val="24"/>
          <w:szCs w:val="24"/>
        </w:rPr>
        <w:t xml:space="preserve">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Pr="00282DC0"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7E6336" w:rsidRDefault="009B39C9" w:rsidP="009B39C9">
      <w:pPr>
        <w:jc w:val="both"/>
        <w:rPr>
          <w:bCs/>
          <w:sz w:val="24"/>
          <w:szCs w:val="24"/>
        </w:rPr>
      </w:pP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48"/>
        <w:gridCol w:w="4524"/>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1EC62124" w:rsidR="003B0365" w:rsidRPr="00282DC0" w:rsidRDefault="003B0365">
            <w:pPr>
              <w:jc w:val="both"/>
              <w:rPr>
                <w:sz w:val="24"/>
                <w:szCs w:val="24"/>
              </w:rPr>
            </w:pPr>
            <w:r w:rsidRPr="00282DC0">
              <w:rPr>
                <w:sz w:val="24"/>
                <w:szCs w:val="24"/>
              </w:rPr>
              <w:t>АО «</w:t>
            </w:r>
            <w:r w:rsidR="00E21B2E">
              <w:rPr>
                <w:sz w:val="24"/>
                <w:szCs w:val="24"/>
              </w:rPr>
              <w:t>МГЭС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0BD3B4CC"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МГЭС</w:t>
      </w:r>
      <w:r w:rsidRPr="00282DC0">
        <w:rPr>
          <w:b/>
          <w:sz w:val="24"/>
          <w:szCs w:val="24"/>
        </w:rPr>
        <w:t>»</w:t>
      </w:r>
      <w:r w:rsidR="007F0BAA">
        <w:rPr>
          <w:b/>
          <w:sz w:val="24"/>
          <w:szCs w:val="24"/>
        </w:rPr>
        <w:t xml:space="preserve"> </w:t>
      </w:r>
      <w:bookmarkStart w:id="0" w:name="_GoBack"/>
      <w:bookmarkEnd w:id="0"/>
      <w:r w:rsidRPr="00282DC0">
        <w:rPr>
          <w:b/>
          <w:sz w:val="24"/>
          <w:szCs w:val="24"/>
        </w:rPr>
        <w:t xml:space="preserve">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proofErr w:type="gramStart"/>
      <w:r w:rsidR="00224275" w:rsidRPr="00097F29">
        <w:rPr>
          <w:sz w:val="24"/>
          <w:szCs w:val="24"/>
        </w:rPr>
        <w:t>от</w:t>
      </w:r>
      <w:proofErr w:type="gramEnd"/>
      <w:r w:rsidR="00224275" w:rsidRPr="00097F29">
        <w:rPr>
          <w:sz w:val="24"/>
          <w:szCs w:val="24"/>
        </w:rPr>
        <w:t xml:space="preserve">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xml:space="preserve">№ </w:t>
            </w:r>
            <w:proofErr w:type="gramStart"/>
            <w:r w:rsidRPr="005432DB">
              <w:rPr>
                <w:b/>
                <w:sz w:val="23"/>
                <w:szCs w:val="23"/>
              </w:rPr>
              <w:t>п</w:t>
            </w:r>
            <w:proofErr w:type="gramEnd"/>
            <w:r w:rsidRPr="005432DB">
              <w:rPr>
                <w:b/>
                <w:sz w:val="23"/>
                <w:szCs w:val="23"/>
              </w:rPr>
              <w:t>/п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9B2F2D5" w14:textId="77777777" w:rsidTr="00B425F9">
        <w:trPr>
          <w:trHeight w:val="992"/>
        </w:trPr>
        <w:tc>
          <w:tcPr>
            <w:tcW w:w="710" w:type="dxa"/>
            <w:vAlign w:val="center"/>
          </w:tcPr>
          <w:p w14:paraId="7A5B079B"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52AC30D3" w14:textId="2642D1DE" w:rsidR="00B425F9" w:rsidRPr="005432DB" w:rsidRDefault="00B425F9" w:rsidP="00B425F9">
            <w:pPr>
              <w:pStyle w:val="af9"/>
              <w:spacing w:before="0" w:after="0"/>
              <w:ind w:left="0"/>
              <w:rPr>
                <w:sz w:val="23"/>
                <w:szCs w:val="23"/>
              </w:rPr>
            </w:pPr>
          </w:p>
        </w:tc>
        <w:tc>
          <w:tcPr>
            <w:tcW w:w="1134" w:type="dxa"/>
          </w:tcPr>
          <w:p w14:paraId="32D9ED37" w14:textId="7FB4B59A" w:rsidR="00B425F9" w:rsidRPr="005432DB" w:rsidRDefault="00B425F9" w:rsidP="00B425F9">
            <w:pPr>
              <w:pStyle w:val="afa"/>
              <w:spacing w:before="0" w:after="0"/>
              <w:jc w:val="center"/>
              <w:rPr>
                <w:sz w:val="23"/>
                <w:szCs w:val="23"/>
              </w:rPr>
            </w:pPr>
          </w:p>
        </w:tc>
        <w:tc>
          <w:tcPr>
            <w:tcW w:w="3260" w:type="dxa"/>
          </w:tcPr>
          <w:p w14:paraId="6D6E134C" w14:textId="029DEDB4" w:rsidR="00B425F9" w:rsidRPr="005432DB" w:rsidRDefault="00B425F9" w:rsidP="007211E2">
            <w:pPr>
              <w:pStyle w:val="af9"/>
              <w:spacing w:before="0" w:after="0"/>
              <w:rPr>
                <w:sz w:val="23"/>
                <w:szCs w:val="23"/>
              </w:rPr>
            </w:pPr>
          </w:p>
        </w:tc>
        <w:tc>
          <w:tcPr>
            <w:tcW w:w="1276" w:type="dxa"/>
            <w:vAlign w:val="center"/>
          </w:tcPr>
          <w:p w14:paraId="32E72CEB" w14:textId="52A7E363" w:rsidR="00B425F9" w:rsidRPr="005432DB" w:rsidRDefault="00B425F9" w:rsidP="00B425F9">
            <w:pPr>
              <w:jc w:val="right"/>
              <w:rPr>
                <w:sz w:val="23"/>
                <w:szCs w:val="23"/>
              </w:rPr>
            </w:pPr>
          </w:p>
        </w:tc>
      </w:tr>
      <w:tr w:rsidR="00B425F9" w:rsidRPr="0001537D" w14:paraId="2190FC27" w14:textId="77777777" w:rsidTr="00B425F9">
        <w:trPr>
          <w:trHeight w:val="254"/>
        </w:trPr>
        <w:tc>
          <w:tcPr>
            <w:tcW w:w="710" w:type="dxa"/>
            <w:vAlign w:val="center"/>
          </w:tcPr>
          <w:p w14:paraId="111ACFD1"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4CA330C2" w14:textId="77777777" w:rsidR="00B425F9" w:rsidRPr="005432DB" w:rsidRDefault="00B425F9" w:rsidP="00B425F9">
            <w:pPr>
              <w:pStyle w:val="af9"/>
              <w:spacing w:before="0" w:after="0"/>
              <w:ind w:left="34"/>
              <w:rPr>
                <w:sz w:val="23"/>
                <w:szCs w:val="23"/>
              </w:rPr>
            </w:pPr>
          </w:p>
        </w:tc>
        <w:tc>
          <w:tcPr>
            <w:tcW w:w="1134" w:type="dxa"/>
          </w:tcPr>
          <w:p w14:paraId="2B926648" w14:textId="77777777" w:rsidR="00B425F9" w:rsidRPr="005432DB" w:rsidRDefault="00B425F9" w:rsidP="00B425F9">
            <w:pPr>
              <w:pStyle w:val="afa"/>
              <w:spacing w:before="0" w:after="0"/>
              <w:rPr>
                <w:sz w:val="23"/>
                <w:szCs w:val="23"/>
              </w:rPr>
            </w:pPr>
          </w:p>
        </w:tc>
        <w:tc>
          <w:tcPr>
            <w:tcW w:w="3260" w:type="dxa"/>
          </w:tcPr>
          <w:p w14:paraId="2A6AAFE6" w14:textId="77777777" w:rsidR="00B425F9" w:rsidRPr="005432DB" w:rsidRDefault="00B425F9" w:rsidP="00B425F9">
            <w:pPr>
              <w:pStyle w:val="af9"/>
              <w:spacing w:before="0" w:after="0"/>
              <w:rPr>
                <w:sz w:val="23"/>
                <w:szCs w:val="23"/>
              </w:rPr>
            </w:pPr>
          </w:p>
        </w:tc>
        <w:tc>
          <w:tcPr>
            <w:tcW w:w="1276" w:type="dxa"/>
            <w:vAlign w:val="center"/>
          </w:tcPr>
          <w:p w14:paraId="59EAD8EE" w14:textId="77777777"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818"/>
              <w:gridCol w:w="4322"/>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7777777"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proofErr w:type="gramStart"/>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proofErr w:type="spellStart"/>
      <w:r w:rsidRPr="000E43E8">
        <w:rPr>
          <w:rFonts w:eastAsia="Calibri"/>
          <w:b/>
          <w:sz w:val="22"/>
          <w:szCs w:val="22"/>
        </w:rPr>
        <w:t>Гришака</w:t>
      </w:r>
      <w:proofErr w:type="spellEnd"/>
      <w:r w:rsidRPr="000E43E8">
        <w:rPr>
          <w:rFonts w:eastAsia="Calibri"/>
          <w:b/>
          <w:sz w:val="22"/>
          <w:szCs w:val="22"/>
        </w:rPr>
        <w:t xml:space="preserve">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roofErr w:type="gramEnd"/>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w:t>
      </w:r>
      <w:proofErr w:type="gramEnd"/>
      <w:r w:rsidRPr="000E43E8">
        <w:rPr>
          <w:rFonts w:eastAsia="Calibri"/>
          <w:sz w:val="22"/>
          <w:szCs w:val="22"/>
        </w:rPr>
        <w:t xml:space="preserve">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roofErr w:type="gramEnd"/>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proofErr w:type="spellStart"/>
      <w:r w:rsidRPr="000E43E8">
        <w:rPr>
          <w:rFonts w:eastAsia="Calibri"/>
          <w:sz w:val="22"/>
          <w:szCs w:val="22"/>
          <w:lang w:val="en-US"/>
        </w:rPr>
        <w:t>Обязанности</w:t>
      </w:r>
      <w:proofErr w:type="spellEnd"/>
      <w:r w:rsidRPr="000E43E8">
        <w:rPr>
          <w:rFonts w:eastAsia="Calibri"/>
          <w:sz w:val="22"/>
          <w:szCs w:val="22"/>
          <w:lang w:val="en-US"/>
        </w:rPr>
        <w:t xml:space="preserve"> </w:t>
      </w:r>
      <w:proofErr w:type="spellStart"/>
      <w:r w:rsidRPr="000E43E8">
        <w:rPr>
          <w:rFonts w:eastAsia="Calibri"/>
          <w:sz w:val="22"/>
          <w:szCs w:val="22"/>
          <w:lang w:val="en-US"/>
        </w:rPr>
        <w:t>Принимающей</w:t>
      </w:r>
      <w:proofErr w:type="spellEnd"/>
      <w:r w:rsidRPr="000E43E8">
        <w:rPr>
          <w:rFonts w:eastAsia="Calibri"/>
          <w:sz w:val="22"/>
          <w:szCs w:val="22"/>
          <w:lang w:val="en-US"/>
        </w:rPr>
        <w:t xml:space="preserve"> </w:t>
      </w:r>
      <w:proofErr w:type="spellStart"/>
      <w:r w:rsidRPr="000E43E8">
        <w:rPr>
          <w:rFonts w:eastAsia="Calibri"/>
          <w:sz w:val="22"/>
          <w:szCs w:val="22"/>
          <w:lang w:val="en-US"/>
        </w:rPr>
        <w:t>стороны</w:t>
      </w:r>
      <w:proofErr w:type="spellEnd"/>
      <w:r w:rsidRPr="000E43E8">
        <w:rPr>
          <w:rFonts w:eastAsia="Calibri"/>
          <w:sz w:val="22"/>
          <w:szCs w:val="22"/>
          <w:lang w:val="en-US"/>
        </w:rPr>
        <w:t>:</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w:t>
      </w:r>
      <w:proofErr w:type="gramStart"/>
      <w:r w:rsidRPr="000E43E8">
        <w:rPr>
          <w:rFonts w:eastAsia="Calibri"/>
          <w:sz w:val="22"/>
          <w:szCs w:val="22"/>
        </w:rPr>
        <w:t>но</w:t>
      </w:r>
      <w:proofErr w:type="gramEnd"/>
      <w:r w:rsidRPr="000E43E8">
        <w:rPr>
          <w:rFonts w:eastAsia="Calibri"/>
          <w:sz w:val="22"/>
          <w:szCs w:val="22"/>
        </w:rPr>
        <w:t xml:space="preserve">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w:t>
      </w:r>
      <w:proofErr w:type="gramStart"/>
      <w:r w:rsidRPr="000E43E8">
        <w:rPr>
          <w:rFonts w:eastAsia="Calibri"/>
          <w:sz w:val="22"/>
          <w:szCs w:val="22"/>
          <w:lang w:eastAsia="ru-RU"/>
        </w:rPr>
        <w:t>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roofErr w:type="gramEnd"/>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proofErr w:type="gramStart"/>
      <w:r w:rsidRPr="000E43E8">
        <w:rPr>
          <w:rFonts w:eastAsia="Calibri"/>
          <w:sz w:val="22"/>
          <w:szCs w:val="22"/>
        </w:rPr>
        <w:t>Разрешена</w:t>
      </w:r>
      <w:proofErr w:type="gramEnd"/>
      <w:r w:rsidRPr="000E43E8">
        <w:rPr>
          <w:rFonts w:eastAsia="Calibri"/>
          <w:sz w:val="22"/>
          <w:szCs w:val="22"/>
        </w:rPr>
        <w:t xml:space="preserve">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w:t>
      </w:r>
      <w:proofErr w:type="gramStart"/>
      <w:r w:rsidRPr="000E43E8">
        <w:rPr>
          <w:rFonts w:eastAsia="Calibri"/>
          <w:sz w:val="22"/>
          <w:szCs w:val="22"/>
        </w:rPr>
        <w:t>получена</w:t>
      </w:r>
      <w:proofErr w:type="gramEnd"/>
      <w:r w:rsidRPr="000E43E8">
        <w:rPr>
          <w:rFonts w:eastAsia="Calibri"/>
          <w:sz w:val="22"/>
          <w:szCs w:val="22"/>
        </w:rPr>
        <w:t xml:space="preserve">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w:t>
      </w:r>
      <w:proofErr w:type="gramStart"/>
      <w:r w:rsidRPr="000E43E8">
        <w:rPr>
          <w:rFonts w:eastAsia="Calibri"/>
          <w:sz w:val="22"/>
          <w:szCs w:val="22"/>
        </w:rPr>
        <w:t xml:space="preserve">расследования фактов </w:t>
      </w:r>
      <w:r w:rsidRPr="000E43E8">
        <w:rPr>
          <w:rFonts w:eastAsia="Calibri"/>
          <w:bCs/>
          <w:sz w:val="22"/>
          <w:szCs w:val="22"/>
        </w:rPr>
        <w:t>нарушения условий Соглашения Стороны</w:t>
      </w:r>
      <w:proofErr w:type="gramEnd"/>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w:t>
      </w:r>
      <w:proofErr w:type="gramStart"/>
      <w:r w:rsidRPr="000E43E8">
        <w:rPr>
          <w:rFonts w:eastAsia="Calibri"/>
          <w:sz w:val="22"/>
          <w:szCs w:val="22"/>
        </w:rPr>
        <w:t>за</w:t>
      </w:r>
      <w:proofErr w:type="gramEnd"/>
      <w:r w:rsidRPr="000E43E8">
        <w:rPr>
          <w:rFonts w:eastAsia="Calibri"/>
          <w:sz w:val="22"/>
          <w:szCs w:val="22"/>
        </w:rPr>
        <w:t>:</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proofErr w:type="gramStart"/>
      <w:r w:rsidRPr="000E43E8">
        <w:rPr>
          <w:rFonts w:eastAsia="Calibri"/>
          <w:bCs/>
          <w:sz w:val="22"/>
          <w:szCs w:val="22"/>
        </w:rPr>
        <w:t>от</w:t>
      </w:r>
      <w:proofErr w:type="gramEnd"/>
      <w:r w:rsidRPr="000E43E8">
        <w:rPr>
          <w:rFonts w:eastAsia="Calibri"/>
          <w:bCs/>
          <w:sz w:val="22"/>
          <w:szCs w:val="22"/>
        </w:rPr>
        <w:t xml:space="preserve">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proofErr w:type="gramStart"/>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убытки в части не покрытой штрафом (п.5.2.</w:t>
      </w:r>
      <w:proofErr w:type="gramEnd"/>
      <w:r w:rsidRPr="000E43E8">
        <w:rPr>
          <w:rFonts w:eastAsia="Calibri"/>
          <w:sz w:val="22"/>
          <w:szCs w:val="22"/>
        </w:rPr>
        <w:t xml:space="preserve"> </w:t>
      </w:r>
      <w:proofErr w:type="spellStart"/>
      <w:r w:rsidRPr="000E43E8">
        <w:rPr>
          <w:rFonts w:eastAsia="Calibri"/>
          <w:sz w:val="22"/>
          <w:szCs w:val="22"/>
          <w:lang w:val="en-US"/>
        </w:rPr>
        <w:t>Соглашения</w:t>
      </w:r>
      <w:proofErr w:type="spellEnd"/>
      <w:r w:rsidRPr="000E43E8">
        <w:rPr>
          <w:rFonts w:eastAsia="Calibri"/>
          <w:sz w:val="22"/>
          <w:szCs w:val="22"/>
          <w:lang w:val="en-US"/>
        </w:rPr>
        <w:t>).</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proofErr w:type="gramStart"/>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proofErr w:type="gramEnd"/>
      <w:r w:rsidRPr="000E43E8">
        <w:rPr>
          <w:rFonts w:eastAsia="Calibri"/>
          <w:sz w:val="22"/>
          <w:szCs w:val="22"/>
        </w:rPr>
        <w:t xml:space="preserve"> или ее использование, за исключением </w:t>
      </w:r>
      <w:proofErr w:type="gramStart"/>
      <w:r w:rsidRPr="000E43E8">
        <w:rPr>
          <w:rFonts w:eastAsia="Calibri"/>
          <w:sz w:val="22"/>
          <w:szCs w:val="22"/>
        </w:rPr>
        <w:t>предусмотренного</w:t>
      </w:r>
      <w:proofErr w:type="gramEnd"/>
      <w:r w:rsidRPr="000E43E8">
        <w:rPr>
          <w:rFonts w:eastAsia="Calibri"/>
          <w:sz w:val="22"/>
          <w:szCs w:val="22"/>
        </w:rPr>
        <w:t xml:space="preserve">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w:t>
      </w:r>
      <w:proofErr w:type="gramStart"/>
      <w:r w:rsidRPr="000E43E8">
        <w:rPr>
          <w:rFonts w:eastAsia="Calibri"/>
          <w:sz w:val="22"/>
          <w:szCs w:val="22"/>
        </w:rPr>
        <w:t xml:space="preserve">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w:t>
      </w:r>
      <w:proofErr w:type="gramEnd"/>
      <w:r w:rsidRPr="000E43E8">
        <w:rPr>
          <w:rFonts w:eastAsia="Calibri"/>
          <w:sz w:val="22"/>
          <w:szCs w:val="22"/>
        </w:rPr>
        <w:t xml:space="preserve">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 xml:space="preserve">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w:t>
      </w:r>
      <w:proofErr w:type="gramStart"/>
      <w:r w:rsidRPr="000E43E8">
        <w:rPr>
          <w:rFonts w:eastAsia="Calibri"/>
          <w:sz w:val="22"/>
          <w:szCs w:val="22"/>
        </w:rPr>
        <w:t>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roofErr w:type="gramEnd"/>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proofErr w:type="gramStart"/>
      <w:r w:rsidRPr="000E43E8">
        <w:rPr>
          <w:rFonts w:eastAsia="Calibri"/>
          <w:sz w:val="22"/>
          <w:szCs w:val="22"/>
        </w:rPr>
        <w:lastRenderedPageBreak/>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w:t>
      </w:r>
      <w:proofErr w:type="gramEnd"/>
      <w:r w:rsidRPr="000E43E8">
        <w:rPr>
          <w:rFonts w:eastAsia="Calibri"/>
          <w:sz w:val="22"/>
          <w:szCs w:val="22"/>
        </w:rPr>
        <w:t xml:space="preserve"> В Передающей стороне контроль за соблюдением Соглашения возлагается </w:t>
      </w:r>
      <w:proofErr w:type="gramStart"/>
      <w:r w:rsidRPr="000E43E8">
        <w:rPr>
          <w:rFonts w:eastAsia="Calibri"/>
          <w:sz w:val="22"/>
          <w:szCs w:val="22"/>
        </w:rPr>
        <w:t>на</w:t>
      </w:r>
      <w:proofErr w:type="gramEnd"/>
      <w:r w:rsidRPr="000E43E8">
        <w:rPr>
          <w:rFonts w:eastAsia="Calibri"/>
          <w:sz w:val="22"/>
          <w:szCs w:val="22"/>
        </w:rPr>
        <w:t xml:space="preserve">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3B76C81B" w:rsidR="00161C64" w:rsidRPr="000E43E8" w:rsidRDefault="009A22CC" w:rsidP="00837087">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Pr="00A908A6" w:rsidRDefault="00DF0A64" w:rsidP="00B425F9">
      <w:pPr>
        <w:jc w:val="right"/>
        <w:rPr>
          <w:sz w:val="22"/>
          <w:szCs w:val="22"/>
        </w:rPr>
      </w:pPr>
    </w:p>
    <w:sectPr w:rsidR="00DF0A64"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E903" w14:textId="77777777" w:rsidR="003B5C21" w:rsidRDefault="003B5C21" w:rsidP="000227DB">
      <w:pPr>
        <w:pStyle w:val="a5"/>
      </w:pPr>
      <w:r>
        <w:separator/>
      </w:r>
    </w:p>
  </w:endnote>
  <w:endnote w:type="continuationSeparator" w:id="0">
    <w:p w14:paraId="2ECADCE3" w14:textId="77777777" w:rsidR="003B5C21" w:rsidRDefault="003B5C21"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4EA9C" w14:textId="77777777" w:rsidR="003B5C21" w:rsidRDefault="003B5C21" w:rsidP="000227DB">
      <w:pPr>
        <w:pStyle w:val="a5"/>
      </w:pPr>
      <w:r>
        <w:separator/>
      </w:r>
    </w:p>
  </w:footnote>
  <w:footnote w:type="continuationSeparator" w:id="0">
    <w:p w14:paraId="36EECF4D" w14:textId="77777777" w:rsidR="003B5C21" w:rsidRDefault="003B5C21"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оп Михаил Юрьевич">
    <w15:presenceInfo w15:providerId="AD" w15:userId="S-1-5-21-4125628198-1674668921-3204586943-45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266BC"/>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5B46"/>
    <w:rsid w:val="0032728C"/>
    <w:rsid w:val="0033105A"/>
    <w:rsid w:val="00331CA1"/>
    <w:rsid w:val="00333E0D"/>
    <w:rsid w:val="003342E9"/>
    <w:rsid w:val="00334F41"/>
    <w:rsid w:val="00334FFD"/>
    <w:rsid w:val="00335C12"/>
    <w:rsid w:val="00336BAB"/>
    <w:rsid w:val="003401C3"/>
    <w:rsid w:val="003408E7"/>
    <w:rsid w:val="00341019"/>
    <w:rsid w:val="00341C6D"/>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C21"/>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2BCE"/>
    <w:rsid w:val="004C45E5"/>
    <w:rsid w:val="004C5C50"/>
    <w:rsid w:val="004C74C9"/>
    <w:rsid w:val="004C75A7"/>
    <w:rsid w:val="004D00FF"/>
    <w:rsid w:val="004D0C58"/>
    <w:rsid w:val="004D319F"/>
    <w:rsid w:val="004D43A3"/>
    <w:rsid w:val="004D4720"/>
    <w:rsid w:val="004D4FB4"/>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0BAA"/>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087"/>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1AA9"/>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36FA"/>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364B"/>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CC33C-1CD9-44DE-BA7F-A4502B97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5846</Words>
  <Characters>33326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39094</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10</cp:revision>
  <cp:lastPrinted>2016-06-27T02:59:00Z</cp:lastPrinted>
  <dcterms:created xsi:type="dcterms:W3CDTF">2017-01-26T02:56:00Z</dcterms:created>
  <dcterms:modified xsi:type="dcterms:W3CDTF">2017-05-11T02:09:00Z</dcterms:modified>
</cp:coreProperties>
</file>